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FCAA8" w14:textId="51870CDA" w:rsidR="00654E98" w:rsidRPr="00656D93" w:rsidRDefault="00531529" w:rsidP="00656D93">
      <w:pPr>
        <w:pStyle w:val="Tytu"/>
        <w:ind w:left="0"/>
        <w:rPr>
          <w:b w:val="0"/>
          <w:sz w:val="33"/>
        </w:rPr>
      </w:pPr>
      <w:r>
        <w:rPr>
          <w:b w:val="0"/>
          <w:noProof/>
          <w:sz w:val="33"/>
        </w:rPr>
        <w:drawing>
          <wp:anchor distT="0" distB="0" distL="114300" distR="114300" simplePos="0" relativeHeight="251657216" behindDoc="0" locked="0" layoutInCell="1" allowOverlap="1" wp14:anchorId="66480A46" wp14:editId="4D0A368C">
            <wp:simplePos x="0" y="0"/>
            <wp:positionH relativeFrom="column">
              <wp:posOffset>-31750</wp:posOffset>
            </wp:positionH>
            <wp:positionV relativeFrom="paragraph">
              <wp:posOffset>0</wp:posOffset>
            </wp:positionV>
            <wp:extent cx="1809750" cy="1000125"/>
            <wp:effectExtent l="0" t="0" r="0" b="9525"/>
            <wp:wrapTopAndBottom/>
            <wp:docPr id="54022511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225116"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09750" cy="1000125"/>
                    </a:xfrm>
                    <a:prstGeom prst="rect">
                      <a:avLst/>
                    </a:prstGeom>
                  </pic:spPr>
                </pic:pic>
              </a:graphicData>
            </a:graphic>
            <wp14:sizeRelH relativeFrom="margin">
              <wp14:pctWidth>0</wp14:pctWidth>
            </wp14:sizeRelH>
            <wp14:sizeRelV relativeFrom="margin">
              <wp14:pctHeight>0</wp14:pctHeight>
            </wp14:sizeRelV>
          </wp:anchor>
        </w:drawing>
      </w:r>
    </w:p>
    <w:p w14:paraId="610160D2" w14:textId="77777777" w:rsidR="00654E98" w:rsidRDefault="00654E98" w:rsidP="00654E98">
      <w:pPr>
        <w:jc w:val="both"/>
        <w:rPr>
          <w:rFonts w:asciiTheme="minorHAnsi" w:hAnsiTheme="minorHAnsi" w:cstheme="minorHAnsi"/>
        </w:rPr>
      </w:pPr>
    </w:p>
    <w:p w14:paraId="2A7DEE61" w14:textId="444939A0" w:rsidR="00654E98" w:rsidRPr="00654E98" w:rsidRDefault="00654E98" w:rsidP="004F7F11">
      <w:pPr>
        <w:jc w:val="center"/>
        <w:rPr>
          <w:rFonts w:asciiTheme="minorHAnsi" w:hAnsiTheme="minorHAnsi" w:cstheme="minorHAnsi"/>
          <w:b/>
          <w:bCs/>
        </w:rPr>
      </w:pPr>
      <w:r>
        <w:rPr>
          <w:rFonts w:asciiTheme="minorHAnsi" w:hAnsiTheme="minorHAnsi"/>
          <w:b/>
        </w:rPr>
        <w:t>Assessment of Celon Pharma S.A.’s Supervisory Board regarding the financial statements and the Company's Management Board report for 2024</w:t>
      </w:r>
    </w:p>
    <w:p w14:paraId="678D9C83" w14:textId="7D60086D" w:rsidR="00654E98" w:rsidRPr="00654E98" w:rsidRDefault="00654E98" w:rsidP="00654E98">
      <w:pPr>
        <w:jc w:val="both"/>
        <w:rPr>
          <w:rFonts w:asciiTheme="minorHAnsi" w:hAnsiTheme="minorHAnsi" w:cstheme="minorHAnsi"/>
        </w:rPr>
      </w:pPr>
    </w:p>
    <w:p w14:paraId="3EBA33B8" w14:textId="0339B386" w:rsidR="00654E98" w:rsidRPr="00654E98" w:rsidRDefault="00654E98" w:rsidP="00654E98">
      <w:pPr>
        <w:jc w:val="both"/>
        <w:rPr>
          <w:rFonts w:asciiTheme="minorHAnsi" w:hAnsiTheme="minorHAnsi" w:cstheme="minorHAnsi"/>
        </w:rPr>
      </w:pPr>
    </w:p>
    <w:p w14:paraId="085EE36D" w14:textId="42591F34" w:rsidR="00654E98" w:rsidRPr="00654E98" w:rsidRDefault="00654E98" w:rsidP="004F7F11">
      <w:pPr>
        <w:spacing w:line="276" w:lineRule="auto"/>
        <w:jc w:val="both"/>
        <w:rPr>
          <w:rFonts w:asciiTheme="minorHAnsi" w:hAnsiTheme="minorHAnsi" w:cstheme="minorHAnsi"/>
        </w:rPr>
      </w:pPr>
      <w:r>
        <w:rPr>
          <w:rFonts w:asciiTheme="minorHAnsi" w:hAnsiTheme="minorHAnsi"/>
        </w:rPr>
        <w:t>In accordance with Article 382 of the Commercial Companies Code, the Supervisory Board of Celon Pharma S.A. analyzed</w:t>
      </w:r>
    </w:p>
    <w:p w14:paraId="3B478E4F" w14:textId="12C639FE" w:rsidR="00654E98" w:rsidRPr="004F7F11" w:rsidRDefault="00654E98" w:rsidP="004F7F11">
      <w:pPr>
        <w:pStyle w:val="Akapitzlist"/>
        <w:numPr>
          <w:ilvl w:val="0"/>
          <w:numId w:val="2"/>
        </w:numPr>
        <w:spacing w:line="276" w:lineRule="auto"/>
        <w:rPr>
          <w:rFonts w:asciiTheme="minorHAnsi" w:hAnsiTheme="minorHAnsi" w:cstheme="minorHAnsi"/>
        </w:rPr>
      </w:pPr>
      <w:r>
        <w:rPr>
          <w:rFonts w:asciiTheme="minorHAnsi" w:hAnsiTheme="minorHAnsi"/>
        </w:rPr>
        <w:t>The Financial Statements of Celon Pharma S.A. for 2024 comprising:</w:t>
      </w:r>
    </w:p>
    <w:p w14:paraId="7E5A1A11" w14:textId="6A9A4BB9" w:rsidR="00C85178" w:rsidRDefault="004F7F11" w:rsidP="00C85178">
      <w:pPr>
        <w:jc w:val="both"/>
        <w:rPr>
          <w:rFonts w:asciiTheme="minorHAnsi" w:hAnsiTheme="minorHAnsi" w:cstheme="minorHAnsi"/>
        </w:rPr>
      </w:pPr>
      <w:r>
        <w:rPr>
          <w:rFonts w:asciiTheme="minorHAnsi" w:hAnsiTheme="minorHAnsi"/>
        </w:rPr>
        <w:t>– a statement of the Company’s financial position prepared as of December 31, 2024, which shows a total of PLN 543,796 thousand on both the assets and liabilities side,</w:t>
      </w:r>
    </w:p>
    <w:p w14:paraId="418E9320" w14:textId="77777777" w:rsidR="00C85178" w:rsidRPr="00654E98" w:rsidRDefault="00C85178" w:rsidP="00C85178">
      <w:pPr>
        <w:jc w:val="both"/>
        <w:rPr>
          <w:rFonts w:asciiTheme="minorHAnsi" w:hAnsiTheme="minorHAnsi" w:cstheme="minorHAnsi"/>
        </w:rPr>
      </w:pPr>
    </w:p>
    <w:p w14:paraId="5F3FF7FC" w14:textId="1D79F435" w:rsidR="00C85178" w:rsidRDefault="004F7F11" w:rsidP="00C85178">
      <w:pPr>
        <w:jc w:val="both"/>
        <w:rPr>
          <w:rFonts w:asciiTheme="minorHAnsi" w:hAnsiTheme="minorHAnsi" w:cstheme="minorHAnsi"/>
        </w:rPr>
      </w:pPr>
      <w:r>
        <w:rPr>
          <w:rFonts w:asciiTheme="minorHAnsi" w:hAnsiTheme="minorHAnsi"/>
        </w:rPr>
        <w:t>– a statement of comprehensive income for the period from January 1, 2024 to December 31, 2024, showing a net loss in the amount of PLN 34,447 thousand,</w:t>
      </w:r>
    </w:p>
    <w:p w14:paraId="786118AF" w14:textId="77777777" w:rsidR="00C85178" w:rsidRPr="00654E98" w:rsidRDefault="00C85178" w:rsidP="00C85178">
      <w:pPr>
        <w:jc w:val="both"/>
        <w:rPr>
          <w:rFonts w:asciiTheme="minorHAnsi" w:hAnsiTheme="minorHAnsi" w:cstheme="minorHAnsi"/>
        </w:rPr>
      </w:pPr>
    </w:p>
    <w:p w14:paraId="34F504F5" w14:textId="77777777" w:rsidR="00C85178" w:rsidRDefault="00C85178" w:rsidP="00C85178">
      <w:pPr>
        <w:jc w:val="both"/>
        <w:rPr>
          <w:rFonts w:asciiTheme="minorHAnsi" w:hAnsiTheme="minorHAnsi" w:cstheme="minorHAnsi"/>
        </w:rPr>
      </w:pPr>
      <w:r>
        <w:rPr>
          <w:rFonts w:asciiTheme="minorHAnsi" w:hAnsiTheme="minorHAnsi"/>
        </w:rPr>
        <w:t>– a cash flow statement for the period from January 1, 2024 to December 31, 2024, showing a decrease in net cash amounting to PLN 5,511 thousand,</w:t>
      </w:r>
    </w:p>
    <w:p w14:paraId="62F731F1" w14:textId="77777777" w:rsidR="00C85178" w:rsidRDefault="00C85178" w:rsidP="00C85178">
      <w:pPr>
        <w:jc w:val="both"/>
        <w:rPr>
          <w:rFonts w:asciiTheme="minorHAnsi" w:hAnsiTheme="minorHAnsi" w:cstheme="minorHAnsi"/>
        </w:rPr>
      </w:pPr>
    </w:p>
    <w:p w14:paraId="097B5B79" w14:textId="4C52BF19" w:rsidR="00654E98" w:rsidRDefault="00C85178" w:rsidP="00C85178">
      <w:pPr>
        <w:jc w:val="both"/>
        <w:rPr>
          <w:rFonts w:asciiTheme="minorHAnsi" w:hAnsiTheme="minorHAnsi" w:cstheme="minorHAnsi"/>
        </w:rPr>
      </w:pPr>
      <w:r>
        <w:rPr>
          <w:rFonts w:asciiTheme="minorHAnsi" w:hAnsiTheme="minorHAnsi"/>
        </w:rPr>
        <w:t>– a statement of changes in equity for the period from January 1, 2024 to December 31, 2024, showing a decrease in equity in an amount 350 thousand and the value of equity as of December 31, 2024 in the amount of PLN 445,206 thousand.</w:t>
      </w:r>
    </w:p>
    <w:p w14:paraId="050288C9" w14:textId="77777777" w:rsidR="00C85178" w:rsidRPr="00654E98" w:rsidRDefault="00C85178" w:rsidP="00C85178">
      <w:pPr>
        <w:jc w:val="both"/>
        <w:rPr>
          <w:rFonts w:asciiTheme="minorHAnsi" w:hAnsiTheme="minorHAnsi" w:cstheme="minorHAnsi"/>
        </w:rPr>
      </w:pPr>
    </w:p>
    <w:p w14:paraId="6C0ADD9D" w14:textId="6AA105CE" w:rsidR="00C85178" w:rsidRPr="00654E98" w:rsidRDefault="00C85178" w:rsidP="00C85178">
      <w:pPr>
        <w:jc w:val="both"/>
        <w:rPr>
          <w:rFonts w:asciiTheme="minorHAnsi" w:hAnsiTheme="minorHAnsi" w:cstheme="minorHAnsi"/>
        </w:rPr>
      </w:pPr>
      <w:r>
        <w:rPr>
          <w:rFonts w:asciiTheme="minorHAnsi" w:hAnsiTheme="minorHAnsi"/>
        </w:rPr>
        <w:t>– additional information and notes,</w:t>
      </w:r>
    </w:p>
    <w:p w14:paraId="71B06B3A" w14:textId="7C17952C" w:rsidR="00654E98" w:rsidRDefault="00654E98" w:rsidP="00C85178">
      <w:pPr>
        <w:pStyle w:val="Akapitzlist"/>
        <w:numPr>
          <w:ilvl w:val="0"/>
          <w:numId w:val="2"/>
        </w:numPr>
        <w:spacing w:line="276" w:lineRule="auto"/>
        <w:rPr>
          <w:rFonts w:asciiTheme="minorHAnsi" w:hAnsiTheme="minorHAnsi" w:cstheme="minorHAnsi"/>
        </w:rPr>
      </w:pPr>
      <w:r>
        <w:rPr>
          <w:rFonts w:asciiTheme="minorHAnsi" w:hAnsiTheme="minorHAnsi"/>
        </w:rPr>
        <w:t>Management Board Report on operations of Celon Pharma S.A. for 2024</w:t>
      </w:r>
    </w:p>
    <w:p w14:paraId="4F7E7517" w14:textId="77777777" w:rsidR="00C85178" w:rsidRPr="00C85178" w:rsidRDefault="00C85178" w:rsidP="00C85178">
      <w:pPr>
        <w:spacing w:line="276" w:lineRule="auto"/>
        <w:rPr>
          <w:rFonts w:asciiTheme="minorHAnsi" w:hAnsiTheme="minorHAnsi" w:cstheme="minorHAnsi"/>
        </w:rPr>
      </w:pPr>
    </w:p>
    <w:p w14:paraId="180E83C3" w14:textId="30CBE1A3" w:rsidR="00654E98" w:rsidRDefault="00654E98" w:rsidP="004F7F11">
      <w:pPr>
        <w:spacing w:line="276" w:lineRule="auto"/>
        <w:jc w:val="both"/>
        <w:rPr>
          <w:rFonts w:asciiTheme="minorHAnsi" w:hAnsiTheme="minorHAnsi" w:cstheme="minorHAnsi"/>
        </w:rPr>
      </w:pPr>
      <w:r>
        <w:rPr>
          <w:rFonts w:asciiTheme="minorHAnsi" w:hAnsiTheme="minorHAnsi"/>
        </w:rPr>
        <w:t xml:space="preserve">and reviewed the audit report on the above statements and the additional report for the Audit Committee prepared by </w:t>
      </w:r>
      <w:proofErr w:type="spellStart"/>
      <w:r>
        <w:rPr>
          <w:rFonts w:asciiTheme="minorHAnsi" w:hAnsiTheme="minorHAnsi"/>
        </w:rPr>
        <w:t>Ernst&amp;Young</w:t>
      </w:r>
      <w:proofErr w:type="spellEnd"/>
      <w:r>
        <w:rPr>
          <w:rFonts w:asciiTheme="minorHAnsi" w:hAnsiTheme="minorHAnsi"/>
        </w:rPr>
        <w:t xml:space="preserve"> </w:t>
      </w:r>
      <w:proofErr w:type="spellStart"/>
      <w:r>
        <w:rPr>
          <w:rFonts w:asciiTheme="minorHAnsi" w:hAnsiTheme="minorHAnsi"/>
        </w:rPr>
        <w:t>Audyt</w:t>
      </w:r>
      <w:proofErr w:type="spellEnd"/>
      <w:r>
        <w:rPr>
          <w:rFonts w:asciiTheme="minorHAnsi" w:hAnsiTheme="minorHAnsi"/>
        </w:rPr>
        <w:t xml:space="preserve"> Polska </w:t>
      </w:r>
      <w:proofErr w:type="spellStart"/>
      <w:r>
        <w:rPr>
          <w:rFonts w:asciiTheme="minorHAnsi" w:hAnsiTheme="minorHAnsi"/>
        </w:rPr>
        <w:t>spółka</w:t>
      </w:r>
      <w:proofErr w:type="spellEnd"/>
      <w:r>
        <w:rPr>
          <w:rFonts w:asciiTheme="minorHAnsi" w:hAnsiTheme="minorHAnsi"/>
        </w:rPr>
        <w:t xml:space="preserve"> z </w:t>
      </w:r>
      <w:proofErr w:type="spellStart"/>
      <w:r>
        <w:rPr>
          <w:rFonts w:asciiTheme="minorHAnsi" w:hAnsiTheme="minorHAnsi"/>
        </w:rPr>
        <w:t>ograniczoną</w:t>
      </w:r>
      <w:proofErr w:type="spellEnd"/>
      <w:r>
        <w:rPr>
          <w:rFonts w:asciiTheme="minorHAnsi" w:hAnsiTheme="minorHAnsi"/>
        </w:rPr>
        <w:t xml:space="preserve"> </w:t>
      </w:r>
      <w:proofErr w:type="spellStart"/>
      <w:r>
        <w:rPr>
          <w:rFonts w:asciiTheme="minorHAnsi" w:hAnsiTheme="minorHAnsi"/>
        </w:rPr>
        <w:t>odpowiedzialnością</w:t>
      </w:r>
      <w:proofErr w:type="spellEnd"/>
      <w:r>
        <w:rPr>
          <w:rFonts w:asciiTheme="minorHAnsi" w:hAnsiTheme="minorHAnsi"/>
        </w:rPr>
        <w:t xml:space="preserve"> </w:t>
      </w:r>
      <w:proofErr w:type="spellStart"/>
      <w:r>
        <w:rPr>
          <w:rFonts w:asciiTheme="minorHAnsi" w:hAnsiTheme="minorHAnsi"/>
        </w:rPr>
        <w:t>spółka</w:t>
      </w:r>
      <w:proofErr w:type="spellEnd"/>
      <w:r>
        <w:rPr>
          <w:rFonts w:asciiTheme="minorHAnsi" w:hAnsiTheme="minorHAnsi"/>
        </w:rPr>
        <w:t xml:space="preserve"> </w:t>
      </w:r>
      <w:proofErr w:type="spellStart"/>
      <w:r>
        <w:rPr>
          <w:rFonts w:asciiTheme="minorHAnsi" w:hAnsiTheme="minorHAnsi"/>
        </w:rPr>
        <w:t>komandytowa</w:t>
      </w:r>
      <w:proofErr w:type="spellEnd"/>
      <w:r>
        <w:rPr>
          <w:rFonts w:asciiTheme="minorHAnsi" w:hAnsiTheme="minorHAnsi"/>
        </w:rPr>
        <w:t>, registered on the list of audit firms under number 130, whereby the issues presented in these reports were discussed with the key auditor.</w:t>
      </w:r>
    </w:p>
    <w:p w14:paraId="30692BE5" w14:textId="77777777" w:rsidR="00C85178" w:rsidRPr="00654E98" w:rsidRDefault="00C85178" w:rsidP="004F7F11">
      <w:pPr>
        <w:spacing w:line="276" w:lineRule="auto"/>
        <w:jc w:val="both"/>
        <w:rPr>
          <w:rFonts w:asciiTheme="minorHAnsi" w:hAnsiTheme="minorHAnsi" w:cstheme="minorHAnsi"/>
        </w:rPr>
      </w:pPr>
    </w:p>
    <w:p w14:paraId="7FE194B2" w14:textId="5D876BE3" w:rsidR="00654E98" w:rsidRDefault="00654E98" w:rsidP="004F7F11">
      <w:pPr>
        <w:spacing w:line="276" w:lineRule="auto"/>
        <w:jc w:val="both"/>
        <w:rPr>
          <w:rFonts w:asciiTheme="minorHAnsi" w:hAnsiTheme="minorHAnsi" w:cstheme="minorHAnsi"/>
        </w:rPr>
      </w:pPr>
      <w:r>
        <w:rPr>
          <w:rFonts w:asciiTheme="minorHAnsi" w:hAnsiTheme="minorHAnsi"/>
        </w:rPr>
        <w:t>The Supervisory Board of Celon Pharma S.A. and the Audit Committee monitored the process of preparing the aforementioned Company statements and did not identify any irregularities in the course of this process, within the scope of their competencies, that could affect the compliance of the aforementioned statements with the accounting books, documents, and actual state of affairs.</w:t>
      </w:r>
    </w:p>
    <w:p w14:paraId="34E4E91C" w14:textId="77777777" w:rsidR="00C85178" w:rsidRPr="00654E98" w:rsidRDefault="00C85178" w:rsidP="004F7F11">
      <w:pPr>
        <w:spacing w:line="276" w:lineRule="auto"/>
        <w:jc w:val="both"/>
        <w:rPr>
          <w:rFonts w:asciiTheme="minorHAnsi" w:hAnsiTheme="minorHAnsi" w:cstheme="minorHAnsi"/>
        </w:rPr>
      </w:pPr>
    </w:p>
    <w:p w14:paraId="0C126E19" w14:textId="77777777" w:rsidR="00654E98" w:rsidRPr="00654E98" w:rsidRDefault="00654E98" w:rsidP="004F7F11">
      <w:pPr>
        <w:spacing w:line="276" w:lineRule="auto"/>
        <w:jc w:val="both"/>
        <w:rPr>
          <w:rFonts w:asciiTheme="minorHAnsi" w:hAnsiTheme="minorHAnsi" w:cstheme="minorHAnsi"/>
        </w:rPr>
      </w:pPr>
      <w:r>
        <w:rPr>
          <w:rFonts w:asciiTheme="minorHAnsi" w:hAnsiTheme="minorHAnsi"/>
        </w:rPr>
        <w:t>The Supervisory Board of Celon Pharma S.A. held meetings with the Audit Committee and the Company's Management Board, discussing issues related to the compliance of the aforementioned statements with the accounting books, documents, and actual state of affairs, and found no irregularities in this regard. In summary, the Supervisory Board of Celon Pharma</w:t>
      </w:r>
    </w:p>
    <w:p w14:paraId="3A166B42" w14:textId="77777777" w:rsidR="00654E98" w:rsidRPr="00654E98" w:rsidRDefault="00654E98" w:rsidP="004F7F11">
      <w:pPr>
        <w:spacing w:line="276" w:lineRule="auto"/>
        <w:jc w:val="both"/>
        <w:rPr>
          <w:rFonts w:asciiTheme="minorHAnsi" w:hAnsiTheme="minorHAnsi" w:cstheme="minorHAnsi"/>
        </w:rPr>
      </w:pPr>
      <w:r>
        <w:rPr>
          <w:rFonts w:asciiTheme="minorHAnsi" w:hAnsiTheme="minorHAnsi"/>
        </w:rPr>
        <w:t>S.A. declares that, in its assessment, the Financial Statements of Celon Pharma S.A. for 2024 and the Management Board Report on operations of Celon Pharma S.A. for 2024 are consistent with the books and documents, as well as with the actual state of affairs.</w:t>
      </w:r>
    </w:p>
    <w:p w14:paraId="091D82F8" w14:textId="77777777" w:rsidR="00654E98" w:rsidRPr="00654E98" w:rsidRDefault="00654E98" w:rsidP="00654E98">
      <w:pPr>
        <w:jc w:val="both"/>
        <w:rPr>
          <w:rFonts w:asciiTheme="minorHAnsi" w:hAnsiTheme="minorHAnsi" w:cstheme="minorHAnsi"/>
        </w:rPr>
      </w:pPr>
    </w:p>
    <w:p w14:paraId="4C361C37" w14:textId="77777777" w:rsidR="00654E98" w:rsidRPr="00654E98" w:rsidRDefault="00654E98" w:rsidP="00654E98">
      <w:pPr>
        <w:jc w:val="both"/>
        <w:rPr>
          <w:rFonts w:asciiTheme="minorHAnsi" w:hAnsiTheme="minorHAnsi" w:cstheme="minorHAnsi"/>
        </w:rPr>
      </w:pPr>
    </w:p>
    <w:p w14:paraId="52E545B1" w14:textId="77777777" w:rsidR="00654E98" w:rsidRPr="00654E98" w:rsidRDefault="00654E98" w:rsidP="00654E98">
      <w:pPr>
        <w:jc w:val="both"/>
        <w:rPr>
          <w:rFonts w:asciiTheme="minorHAnsi" w:hAnsiTheme="minorHAnsi" w:cstheme="minorHAnsi"/>
        </w:rPr>
      </w:pPr>
    </w:p>
    <w:p w14:paraId="4DCAB563" w14:textId="54E0C79E" w:rsidR="00B808C0" w:rsidRPr="00654E98" w:rsidRDefault="00654E98" w:rsidP="00C85178">
      <w:pPr>
        <w:rPr>
          <w:rFonts w:asciiTheme="minorHAnsi" w:hAnsiTheme="minorHAnsi" w:cstheme="minorHAnsi"/>
        </w:rPr>
        <w:sectPr w:rsidR="00B808C0" w:rsidRPr="00654E98">
          <w:type w:val="continuous"/>
          <w:pgSz w:w="11900" w:h="16840"/>
          <w:pgMar w:top="380" w:right="1680" w:bottom="0" w:left="1220" w:header="708" w:footer="708" w:gutter="0"/>
          <w:cols w:space="708"/>
        </w:sectPr>
      </w:pPr>
      <w:r>
        <w:rPr>
          <w:rFonts w:asciiTheme="minorHAnsi" w:hAnsiTheme="minorHAnsi"/>
        </w:rPr>
        <w:t>Publication date: April 30, 2025</w:t>
      </w:r>
    </w:p>
    <w:p w14:paraId="1011437F" w14:textId="74743D3C" w:rsidR="00C85178" w:rsidRDefault="00531529">
      <w:pPr>
        <w:pStyle w:val="Tekstpodstawowy"/>
        <w:rPr>
          <w:sz w:val="13"/>
        </w:rPr>
      </w:pPr>
      <w:r>
        <w:rPr>
          <w:noProof/>
          <w:sz w:val="33"/>
        </w:rPr>
        <w:lastRenderedPageBreak/>
        <w:drawing>
          <wp:anchor distT="0" distB="0" distL="114300" distR="114300" simplePos="0" relativeHeight="251658240" behindDoc="0" locked="0" layoutInCell="1" allowOverlap="1" wp14:anchorId="3E158FF8" wp14:editId="5558DC59">
            <wp:simplePos x="0" y="0"/>
            <wp:positionH relativeFrom="column">
              <wp:posOffset>-222250</wp:posOffset>
            </wp:positionH>
            <wp:positionV relativeFrom="paragraph">
              <wp:posOffset>-673735</wp:posOffset>
            </wp:positionV>
            <wp:extent cx="1809750" cy="1000125"/>
            <wp:effectExtent l="0" t="0" r="0" b="9525"/>
            <wp:wrapTopAndBottom/>
            <wp:docPr id="176429825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225116"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09750" cy="1000125"/>
                    </a:xfrm>
                    <a:prstGeom prst="rect">
                      <a:avLst/>
                    </a:prstGeom>
                  </pic:spPr>
                </pic:pic>
              </a:graphicData>
            </a:graphic>
            <wp14:sizeRelH relativeFrom="margin">
              <wp14:pctWidth>0</wp14:pctWidth>
            </wp14:sizeRelH>
            <wp14:sizeRelV relativeFrom="margin">
              <wp14:pctHeight>0</wp14:pctHeight>
            </wp14:sizeRelV>
          </wp:anchor>
        </w:drawing>
      </w:r>
    </w:p>
    <w:p w14:paraId="749D86C1" w14:textId="4EDC4C9F" w:rsidR="00B808C0" w:rsidRDefault="00B808C0">
      <w:pPr>
        <w:pStyle w:val="Tekstpodstawowy"/>
        <w:rPr>
          <w:sz w:val="13"/>
        </w:rPr>
      </w:pPr>
    </w:p>
    <w:tbl>
      <w:tblPr>
        <w:tblStyle w:val="Tabela-Siatka"/>
        <w:tblpPr w:leftFromText="141" w:rightFromText="141" w:vertAnchor="text" w:horzAnchor="margin" w:tblpX="108" w:tblpY="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2693"/>
      </w:tblGrid>
      <w:tr w:rsidR="00D00EB0" w:rsidRPr="00D00EB0" w14:paraId="1381277E" w14:textId="77777777" w:rsidTr="00356E7F">
        <w:tc>
          <w:tcPr>
            <w:tcW w:w="6204" w:type="dxa"/>
          </w:tcPr>
          <w:p w14:paraId="3C71FA6E" w14:textId="2F1621C9" w:rsidR="00356E7F" w:rsidRDefault="00356E7F" w:rsidP="00D00EB0">
            <w:pPr>
              <w:pStyle w:val="Tekstpodstawowy"/>
              <w:rPr>
                <w:rFonts w:asciiTheme="minorHAnsi" w:hAnsiTheme="minorHAnsi" w:cstheme="minorHAnsi"/>
                <w:b/>
                <w:bCs/>
                <w:sz w:val="22"/>
                <w:szCs w:val="22"/>
              </w:rPr>
            </w:pPr>
          </w:p>
          <w:p w14:paraId="6CF17E23" w14:textId="77777777" w:rsidR="00356E7F" w:rsidRDefault="00356E7F" w:rsidP="00D00EB0">
            <w:pPr>
              <w:pStyle w:val="Tekstpodstawowy"/>
              <w:rPr>
                <w:rFonts w:asciiTheme="minorHAnsi" w:hAnsiTheme="minorHAnsi" w:cstheme="minorHAnsi"/>
                <w:b/>
                <w:bCs/>
                <w:sz w:val="22"/>
                <w:szCs w:val="22"/>
              </w:rPr>
            </w:pPr>
          </w:p>
          <w:p w14:paraId="6CAE9D14" w14:textId="7BA1100B" w:rsidR="00D00EB0" w:rsidRDefault="00D00EB0" w:rsidP="00D00EB0">
            <w:pPr>
              <w:pStyle w:val="Tekstpodstawowy"/>
              <w:rPr>
                <w:rFonts w:asciiTheme="minorHAnsi" w:hAnsiTheme="minorHAnsi" w:cstheme="minorHAnsi"/>
                <w:sz w:val="22"/>
                <w:szCs w:val="22"/>
              </w:rPr>
            </w:pPr>
            <w:r>
              <w:rPr>
                <w:rFonts w:asciiTheme="minorHAnsi" w:hAnsiTheme="minorHAnsi"/>
                <w:b/>
                <w:sz w:val="22"/>
              </w:rPr>
              <w:t xml:space="preserve">Robert </w:t>
            </w:r>
            <w:proofErr w:type="spellStart"/>
            <w:r>
              <w:rPr>
                <w:rFonts w:asciiTheme="minorHAnsi" w:hAnsiTheme="minorHAnsi"/>
                <w:b/>
                <w:sz w:val="22"/>
              </w:rPr>
              <w:t>Rzemiński</w:t>
            </w:r>
            <w:proofErr w:type="spellEnd"/>
            <w:r>
              <w:rPr>
                <w:rFonts w:asciiTheme="minorHAnsi" w:hAnsiTheme="minorHAnsi"/>
                <w:b/>
                <w:sz w:val="22"/>
              </w:rPr>
              <w:t xml:space="preserve"> </w:t>
            </w:r>
            <w:r>
              <w:rPr>
                <w:rFonts w:asciiTheme="minorHAnsi" w:hAnsiTheme="minorHAnsi"/>
                <w:sz w:val="22"/>
              </w:rPr>
              <w:t>– Chairman of the Supervisory Board</w:t>
            </w:r>
          </w:p>
          <w:p w14:paraId="48CA7BBE" w14:textId="77777777" w:rsidR="00D00EB0" w:rsidRDefault="00D00EB0" w:rsidP="00D00EB0">
            <w:pPr>
              <w:pStyle w:val="Tekstpodstawowy"/>
              <w:rPr>
                <w:rFonts w:asciiTheme="minorHAnsi" w:hAnsiTheme="minorHAnsi" w:cstheme="minorHAnsi"/>
                <w:sz w:val="22"/>
                <w:szCs w:val="22"/>
              </w:rPr>
            </w:pPr>
          </w:p>
          <w:p w14:paraId="050F227C" w14:textId="6BA81E30" w:rsidR="00D00EB0" w:rsidRDefault="00D00EB0" w:rsidP="00D00EB0">
            <w:pPr>
              <w:pStyle w:val="Tekstpodstawowy"/>
              <w:rPr>
                <w:rFonts w:asciiTheme="minorHAnsi" w:hAnsiTheme="minorHAnsi" w:cstheme="minorHAnsi"/>
                <w:sz w:val="22"/>
                <w:szCs w:val="22"/>
              </w:rPr>
            </w:pPr>
            <w:r>
              <w:rPr>
                <w:rFonts w:asciiTheme="minorHAnsi" w:hAnsiTheme="minorHAnsi"/>
                <w:b/>
                <w:sz w:val="22"/>
              </w:rPr>
              <w:t xml:space="preserve">Krzysztof Kaczmarczyk </w:t>
            </w:r>
            <w:r>
              <w:rPr>
                <w:rFonts w:asciiTheme="minorHAnsi" w:hAnsiTheme="minorHAnsi"/>
                <w:sz w:val="22"/>
              </w:rPr>
              <w:t>– Member of the Supervisory Board</w:t>
            </w:r>
          </w:p>
          <w:p w14:paraId="75B91969" w14:textId="77777777" w:rsidR="00D00EB0" w:rsidRDefault="00D00EB0" w:rsidP="00D00EB0">
            <w:pPr>
              <w:pStyle w:val="Tekstpodstawowy"/>
              <w:rPr>
                <w:rFonts w:asciiTheme="minorHAnsi" w:hAnsiTheme="minorHAnsi" w:cstheme="minorHAnsi"/>
                <w:sz w:val="22"/>
                <w:szCs w:val="22"/>
              </w:rPr>
            </w:pPr>
          </w:p>
          <w:p w14:paraId="754A745B" w14:textId="2C852FA6" w:rsidR="00D00EB0" w:rsidRDefault="00D00EB0" w:rsidP="00D00EB0">
            <w:pPr>
              <w:pStyle w:val="Tekstpodstawowy"/>
              <w:rPr>
                <w:rFonts w:asciiTheme="minorHAnsi" w:hAnsiTheme="minorHAnsi" w:cstheme="minorHAnsi"/>
                <w:sz w:val="22"/>
                <w:szCs w:val="22"/>
              </w:rPr>
            </w:pPr>
            <w:r>
              <w:rPr>
                <w:rFonts w:asciiTheme="minorHAnsi" w:hAnsiTheme="minorHAnsi"/>
                <w:b/>
                <w:sz w:val="22"/>
              </w:rPr>
              <w:t xml:space="preserve">Bogusław Galewski </w:t>
            </w:r>
            <w:r>
              <w:rPr>
                <w:rFonts w:asciiTheme="minorHAnsi" w:hAnsiTheme="minorHAnsi"/>
                <w:sz w:val="22"/>
              </w:rPr>
              <w:t>– Member of the Supervisory Board</w:t>
            </w:r>
          </w:p>
          <w:p w14:paraId="66918530" w14:textId="77777777" w:rsidR="00D00EB0" w:rsidRDefault="00D00EB0" w:rsidP="00D00EB0">
            <w:pPr>
              <w:pStyle w:val="Tekstpodstawowy"/>
              <w:rPr>
                <w:rFonts w:asciiTheme="minorHAnsi" w:hAnsiTheme="minorHAnsi" w:cstheme="minorHAnsi"/>
                <w:sz w:val="22"/>
                <w:szCs w:val="22"/>
              </w:rPr>
            </w:pPr>
          </w:p>
          <w:p w14:paraId="1DF81B85" w14:textId="6A0A62C1" w:rsidR="00D00EB0" w:rsidRDefault="00D00EB0" w:rsidP="00D00EB0">
            <w:pPr>
              <w:pStyle w:val="Tekstpodstawowy"/>
              <w:rPr>
                <w:rFonts w:asciiTheme="minorHAnsi" w:hAnsiTheme="minorHAnsi" w:cstheme="minorHAnsi"/>
                <w:sz w:val="22"/>
                <w:szCs w:val="22"/>
              </w:rPr>
            </w:pPr>
            <w:r>
              <w:rPr>
                <w:rFonts w:asciiTheme="minorHAnsi" w:hAnsiTheme="minorHAnsi"/>
                <w:b/>
                <w:sz w:val="22"/>
              </w:rPr>
              <w:t>Artur Wieczorek</w:t>
            </w:r>
            <w:r>
              <w:rPr>
                <w:rFonts w:asciiTheme="minorHAnsi" w:hAnsiTheme="minorHAnsi"/>
                <w:sz w:val="22"/>
              </w:rPr>
              <w:t xml:space="preserve"> – Member of the Supervisory Board</w:t>
            </w:r>
          </w:p>
          <w:p w14:paraId="3CBA24A6" w14:textId="77777777" w:rsidR="00D00EB0" w:rsidRDefault="00D00EB0" w:rsidP="00D00EB0">
            <w:pPr>
              <w:pStyle w:val="Tekstpodstawowy"/>
              <w:rPr>
                <w:rFonts w:asciiTheme="minorHAnsi" w:hAnsiTheme="minorHAnsi" w:cstheme="minorHAnsi"/>
                <w:sz w:val="22"/>
                <w:szCs w:val="22"/>
              </w:rPr>
            </w:pPr>
          </w:p>
          <w:p w14:paraId="09B560C1" w14:textId="33E47AF9" w:rsidR="00D00EB0" w:rsidRPr="00D00EB0" w:rsidRDefault="00D00EB0" w:rsidP="00D00EB0">
            <w:pPr>
              <w:pStyle w:val="Tekstpodstawowy"/>
              <w:rPr>
                <w:rFonts w:asciiTheme="minorHAnsi" w:hAnsiTheme="minorHAnsi" w:cstheme="minorHAnsi"/>
                <w:sz w:val="22"/>
                <w:szCs w:val="22"/>
              </w:rPr>
            </w:pPr>
            <w:r>
              <w:rPr>
                <w:rFonts w:asciiTheme="minorHAnsi" w:hAnsiTheme="minorHAnsi"/>
                <w:b/>
                <w:sz w:val="22"/>
              </w:rPr>
              <w:t>Urszula Wieczorek</w:t>
            </w:r>
            <w:r>
              <w:rPr>
                <w:rFonts w:asciiTheme="minorHAnsi" w:hAnsiTheme="minorHAnsi"/>
                <w:sz w:val="22"/>
              </w:rPr>
              <w:t xml:space="preserve"> – Member of the Supervisory Board</w:t>
            </w:r>
          </w:p>
          <w:p w14:paraId="2F553197" w14:textId="77777777" w:rsidR="00D00EB0" w:rsidRPr="00D00EB0" w:rsidRDefault="00D00EB0" w:rsidP="00D00EB0">
            <w:pPr>
              <w:pStyle w:val="Tekstpodstawowy"/>
              <w:rPr>
                <w:rFonts w:asciiTheme="minorHAnsi" w:hAnsiTheme="minorHAnsi" w:cstheme="minorHAnsi"/>
                <w:sz w:val="22"/>
                <w:szCs w:val="22"/>
              </w:rPr>
            </w:pPr>
          </w:p>
          <w:p w14:paraId="00AB3EB4" w14:textId="77777777" w:rsidR="00D00EB0" w:rsidRPr="00D00EB0" w:rsidRDefault="00D00EB0" w:rsidP="00D00EB0">
            <w:pPr>
              <w:pStyle w:val="Tekstpodstawowy"/>
              <w:rPr>
                <w:rFonts w:asciiTheme="minorHAnsi" w:hAnsiTheme="minorHAnsi" w:cstheme="minorHAnsi"/>
                <w:sz w:val="22"/>
                <w:szCs w:val="22"/>
              </w:rPr>
            </w:pPr>
          </w:p>
        </w:tc>
        <w:tc>
          <w:tcPr>
            <w:tcW w:w="2693" w:type="dxa"/>
          </w:tcPr>
          <w:p w14:paraId="44914141" w14:textId="724D5A38" w:rsidR="00356E7F" w:rsidRPr="00356E7F" w:rsidRDefault="00356E7F" w:rsidP="00D00EB0">
            <w:pPr>
              <w:pStyle w:val="Tekstpodstawowy"/>
              <w:rPr>
                <w:rFonts w:ascii="Times New Roman" w:hAnsi="Times New Roman" w:cs="Times New Roman"/>
                <w:sz w:val="16"/>
                <w:szCs w:val="16"/>
              </w:rPr>
            </w:pPr>
          </w:p>
        </w:tc>
      </w:tr>
    </w:tbl>
    <w:p w14:paraId="4A400C2D" w14:textId="7F75148A" w:rsidR="00B808C0" w:rsidRDefault="00B808C0" w:rsidP="00D00EB0">
      <w:pPr>
        <w:spacing w:before="94"/>
        <w:rPr>
          <w:rFonts w:ascii="Courier New"/>
          <w:sz w:val="16"/>
        </w:rPr>
      </w:pPr>
    </w:p>
    <w:p w14:paraId="27E04C66" w14:textId="77777777" w:rsidR="00512E1C" w:rsidRDefault="00512E1C" w:rsidP="00D00EB0">
      <w:pPr>
        <w:spacing w:before="94"/>
        <w:rPr>
          <w:rFonts w:ascii="Courier New"/>
          <w:sz w:val="16"/>
        </w:rPr>
      </w:pPr>
    </w:p>
    <w:p w14:paraId="3BBF7378" w14:textId="77777777" w:rsidR="00512E1C" w:rsidRDefault="00512E1C" w:rsidP="00D00EB0">
      <w:pPr>
        <w:spacing w:before="94"/>
        <w:rPr>
          <w:rFonts w:ascii="Courier New"/>
          <w:sz w:val="16"/>
        </w:rPr>
      </w:pPr>
    </w:p>
    <w:p w14:paraId="15FC2D73" w14:textId="77777777" w:rsidR="00512E1C" w:rsidRDefault="00512E1C" w:rsidP="00D00EB0">
      <w:pPr>
        <w:spacing w:before="94"/>
        <w:rPr>
          <w:rFonts w:ascii="Courier New"/>
          <w:sz w:val="16"/>
        </w:rPr>
      </w:pPr>
    </w:p>
    <w:p w14:paraId="6A946CAE" w14:textId="77777777" w:rsidR="00512E1C" w:rsidRDefault="00512E1C" w:rsidP="00D00EB0">
      <w:pPr>
        <w:spacing w:before="94"/>
        <w:rPr>
          <w:rFonts w:ascii="Courier New"/>
          <w:sz w:val="16"/>
        </w:rPr>
      </w:pPr>
    </w:p>
    <w:p w14:paraId="16AE1D80" w14:textId="77777777" w:rsidR="00512E1C" w:rsidRDefault="00512E1C" w:rsidP="00D00EB0">
      <w:pPr>
        <w:spacing w:before="94"/>
        <w:rPr>
          <w:rFonts w:ascii="Courier New"/>
          <w:sz w:val="16"/>
        </w:rPr>
      </w:pPr>
    </w:p>
    <w:p w14:paraId="2EE60383" w14:textId="77777777" w:rsidR="00512E1C" w:rsidRDefault="00512E1C" w:rsidP="00D00EB0">
      <w:pPr>
        <w:spacing w:before="94"/>
        <w:rPr>
          <w:rFonts w:ascii="Courier New"/>
          <w:sz w:val="16"/>
        </w:rPr>
      </w:pPr>
    </w:p>
    <w:p w14:paraId="234F8D6F" w14:textId="77777777" w:rsidR="00512E1C" w:rsidRDefault="00512E1C" w:rsidP="00D00EB0">
      <w:pPr>
        <w:spacing w:before="94"/>
        <w:rPr>
          <w:rFonts w:ascii="Courier New"/>
          <w:sz w:val="16"/>
        </w:rPr>
      </w:pPr>
    </w:p>
    <w:p w14:paraId="7AE2B365" w14:textId="77777777" w:rsidR="00512E1C" w:rsidRDefault="00512E1C" w:rsidP="00D00EB0">
      <w:pPr>
        <w:spacing w:before="94"/>
        <w:rPr>
          <w:rFonts w:ascii="Courier New"/>
          <w:sz w:val="16"/>
        </w:rPr>
      </w:pPr>
    </w:p>
    <w:p w14:paraId="079093D7" w14:textId="77777777" w:rsidR="00512E1C" w:rsidRDefault="00512E1C" w:rsidP="00D00EB0">
      <w:pPr>
        <w:spacing w:before="94"/>
        <w:rPr>
          <w:rFonts w:ascii="Courier New"/>
          <w:sz w:val="16"/>
        </w:rPr>
      </w:pPr>
    </w:p>
    <w:p w14:paraId="7FAE8C4E" w14:textId="77777777" w:rsidR="00512E1C" w:rsidRDefault="00512E1C" w:rsidP="00D00EB0">
      <w:pPr>
        <w:spacing w:before="94"/>
        <w:rPr>
          <w:rFonts w:ascii="Courier New"/>
          <w:sz w:val="16"/>
        </w:rPr>
      </w:pPr>
    </w:p>
    <w:p w14:paraId="2F22B5FD" w14:textId="77777777" w:rsidR="00512E1C" w:rsidRDefault="00512E1C" w:rsidP="00D00EB0">
      <w:pPr>
        <w:spacing w:before="94"/>
        <w:rPr>
          <w:rFonts w:ascii="Courier New"/>
          <w:sz w:val="16"/>
        </w:rPr>
      </w:pPr>
    </w:p>
    <w:p w14:paraId="2D90E36C" w14:textId="77777777" w:rsidR="00512E1C" w:rsidRDefault="00512E1C" w:rsidP="00D00EB0">
      <w:pPr>
        <w:spacing w:before="94"/>
        <w:rPr>
          <w:rFonts w:ascii="Courier New"/>
          <w:sz w:val="16"/>
        </w:rPr>
      </w:pPr>
    </w:p>
    <w:p w14:paraId="5C6E2B8D" w14:textId="77777777" w:rsidR="00512E1C" w:rsidRDefault="00512E1C" w:rsidP="00D00EB0">
      <w:pPr>
        <w:spacing w:before="94"/>
        <w:rPr>
          <w:rFonts w:ascii="Courier New"/>
          <w:sz w:val="16"/>
        </w:rPr>
      </w:pPr>
    </w:p>
    <w:p w14:paraId="0118B045" w14:textId="77777777" w:rsidR="00512E1C" w:rsidRDefault="00512E1C" w:rsidP="00D00EB0">
      <w:pPr>
        <w:spacing w:before="94"/>
        <w:rPr>
          <w:rFonts w:ascii="Courier New"/>
          <w:sz w:val="16"/>
        </w:rPr>
      </w:pPr>
    </w:p>
    <w:p w14:paraId="448AD574" w14:textId="77777777" w:rsidR="00512E1C" w:rsidRDefault="00512E1C" w:rsidP="00D00EB0">
      <w:pPr>
        <w:spacing w:before="94"/>
        <w:rPr>
          <w:rFonts w:ascii="Courier New"/>
          <w:sz w:val="16"/>
        </w:rPr>
      </w:pPr>
    </w:p>
    <w:p w14:paraId="2D6188B0" w14:textId="77777777" w:rsidR="00512E1C" w:rsidRDefault="00512E1C" w:rsidP="00D00EB0">
      <w:pPr>
        <w:spacing w:before="94"/>
        <w:rPr>
          <w:rFonts w:ascii="Courier New"/>
          <w:sz w:val="16"/>
        </w:rPr>
      </w:pPr>
    </w:p>
    <w:p w14:paraId="60D45AE7" w14:textId="77777777" w:rsidR="00512E1C" w:rsidRDefault="00512E1C" w:rsidP="00D00EB0">
      <w:pPr>
        <w:spacing w:before="94"/>
        <w:rPr>
          <w:rFonts w:ascii="Courier New"/>
          <w:sz w:val="16"/>
        </w:rPr>
      </w:pPr>
    </w:p>
    <w:p w14:paraId="7AE581A5" w14:textId="77777777" w:rsidR="00512E1C" w:rsidRDefault="00512E1C" w:rsidP="00D00EB0">
      <w:pPr>
        <w:spacing w:before="94"/>
        <w:rPr>
          <w:rFonts w:ascii="Courier New"/>
          <w:sz w:val="16"/>
        </w:rPr>
      </w:pPr>
    </w:p>
    <w:p w14:paraId="3D6DC83A" w14:textId="77777777" w:rsidR="00512E1C" w:rsidRDefault="00512E1C" w:rsidP="00D00EB0">
      <w:pPr>
        <w:spacing w:before="94"/>
        <w:rPr>
          <w:rFonts w:ascii="Courier New"/>
          <w:sz w:val="16"/>
        </w:rPr>
      </w:pPr>
    </w:p>
    <w:p w14:paraId="216AA813" w14:textId="77777777" w:rsidR="00512E1C" w:rsidRDefault="00512E1C" w:rsidP="00D00EB0">
      <w:pPr>
        <w:spacing w:before="94"/>
        <w:rPr>
          <w:rFonts w:ascii="Courier New"/>
          <w:sz w:val="16"/>
        </w:rPr>
      </w:pPr>
    </w:p>
    <w:p w14:paraId="11747D3B" w14:textId="77777777" w:rsidR="00512E1C" w:rsidRDefault="00512E1C" w:rsidP="00D00EB0">
      <w:pPr>
        <w:spacing w:before="94"/>
        <w:rPr>
          <w:rFonts w:ascii="Courier New"/>
          <w:sz w:val="16"/>
        </w:rPr>
      </w:pPr>
    </w:p>
    <w:p w14:paraId="1FA4FC22" w14:textId="77777777" w:rsidR="00512E1C" w:rsidRDefault="00512E1C" w:rsidP="00D00EB0">
      <w:pPr>
        <w:spacing w:before="94"/>
        <w:rPr>
          <w:rFonts w:ascii="Courier New"/>
          <w:sz w:val="16"/>
        </w:rPr>
      </w:pPr>
    </w:p>
    <w:p w14:paraId="41E1F497" w14:textId="77777777" w:rsidR="00512E1C" w:rsidRDefault="00512E1C" w:rsidP="00D00EB0">
      <w:pPr>
        <w:spacing w:before="94"/>
        <w:rPr>
          <w:rFonts w:ascii="Courier New"/>
          <w:sz w:val="16"/>
        </w:rPr>
      </w:pPr>
    </w:p>
    <w:p w14:paraId="51A8105D" w14:textId="77777777" w:rsidR="00512E1C" w:rsidRDefault="00512E1C" w:rsidP="00D00EB0">
      <w:pPr>
        <w:spacing w:before="94"/>
        <w:rPr>
          <w:rFonts w:ascii="Courier New"/>
          <w:sz w:val="16"/>
        </w:rPr>
      </w:pPr>
    </w:p>
    <w:p w14:paraId="6742878D" w14:textId="77777777" w:rsidR="00656D93" w:rsidRDefault="00656D93" w:rsidP="00D00EB0">
      <w:pPr>
        <w:spacing w:before="94"/>
        <w:rPr>
          <w:rFonts w:ascii="Courier New"/>
          <w:sz w:val="16"/>
        </w:rPr>
      </w:pPr>
    </w:p>
    <w:p w14:paraId="6F649962" w14:textId="77777777" w:rsidR="00656D93" w:rsidRDefault="00656D93" w:rsidP="00D00EB0">
      <w:pPr>
        <w:spacing w:before="94"/>
        <w:rPr>
          <w:rFonts w:ascii="Courier New"/>
          <w:sz w:val="16"/>
        </w:rPr>
      </w:pPr>
    </w:p>
    <w:p w14:paraId="6E768F00" w14:textId="77777777" w:rsidR="00656D93" w:rsidRDefault="00656D93" w:rsidP="00D00EB0">
      <w:pPr>
        <w:spacing w:before="94"/>
        <w:rPr>
          <w:rFonts w:ascii="Courier New"/>
          <w:sz w:val="16"/>
        </w:rPr>
      </w:pPr>
    </w:p>
    <w:p w14:paraId="0E5AC239" w14:textId="77777777" w:rsidR="00512E1C" w:rsidRDefault="00512E1C" w:rsidP="00D00EB0">
      <w:pPr>
        <w:spacing w:before="94"/>
        <w:rPr>
          <w:rFonts w:ascii="Courier New"/>
          <w:sz w:val="16"/>
        </w:rPr>
      </w:pPr>
    </w:p>
    <w:p w14:paraId="1E75C97F" w14:textId="77777777" w:rsidR="00512E1C" w:rsidRDefault="00512E1C" w:rsidP="00D00EB0">
      <w:pPr>
        <w:spacing w:before="94"/>
        <w:rPr>
          <w:rFonts w:ascii="Courier New"/>
          <w:sz w:val="16"/>
        </w:rPr>
      </w:pPr>
    </w:p>
    <w:p w14:paraId="05FECE2A" w14:textId="77777777" w:rsidR="00512E1C" w:rsidRDefault="00512E1C" w:rsidP="00D00EB0">
      <w:pPr>
        <w:spacing w:before="94"/>
        <w:rPr>
          <w:rFonts w:ascii="Courier New"/>
          <w:sz w:val="16"/>
        </w:rPr>
      </w:pPr>
    </w:p>
    <w:p w14:paraId="45E0B960" w14:textId="77777777" w:rsidR="00512E1C" w:rsidRDefault="00512E1C" w:rsidP="00D00EB0">
      <w:pPr>
        <w:spacing w:before="94"/>
        <w:rPr>
          <w:rFonts w:ascii="Courier New"/>
          <w:sz w:val="16"/>
        </w:rPr>
      </w:pPr>
    </w:p>
    <w:p w14:paraId="4E768E92" w14:textId="77777777" w:rsidR="00512E1C" w:rsidRDefault="00512E1C" w:rsidP="00D00EB0">
      <w:pPr>
        <w:spacing w:before="94"/>
        <w:rPr>
          <w:rFonts w:ascii="Courier New"/>
          <w:sz w:val="16"/>
        </w:rPr>
      </w:pPr>
    </w:p>
    <w:p w14:paraId="33C0A8FD" w14:textId="77777777" w:rsidR="00512E1C" w:rsidRDefault="00512E1C" w:rsidP="00D00EB0">
      <w:pPr>
        <w:spacing w:before="94"/>
        <w:rPr>
          <w:rFonts w:ascii="Courier New"/>
          <w:sz w:val="16"/>
        </w:rPr>
      </w:pPr>
    </w:p>
    <w:p w14:paraId="381561BF" w14:textId="10C467E3" w:rsidR="00512E1C" w:rsidRPr="00512E1C" w:rsidRDefault="00512E1C" w:rsidP="00D00EB0">
      <w:pPr>
        <w:spacing w:before="94"/>
        <w:rPr>
          <w:rFonts w:asciiTheme="minorHAnsi" w:hAnsiTheme="minorHAnsi" w:cstheme="minorHAnsi"/>
          <w:sz w:val="20"/>
          <w:szCs w:val="26"/>
        </w:rPr>
      </w:pPr>
      <w:r>
        <w:rPr>
          <w:rFonts w:asciiTheme="minorHAnsi" w:hAnsiTheme="minorHAnsi"/>
          <w:sz w:val="20"/>
        </w:rPr>
        <w:t>Publication date: April 30, 2025</w:t>
      </w:r>
    </w:p>
    <w:sectPr w:rsidR="00512E1C" w:rsidRPr="00512E1C">
      <w:pgSz w:w="11900" w:h="16840"/>
      <w:pgMar w:top="1920" w:right="1680" w:bottom="280" w:left="12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F701F0"/>
    <w:multiLevelType w:val="hybridMultilevel"/>
    <w:tmpl w:val="1F56956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53B75CF5"/>
    <w:multiLevelType w:val="hybridMultilevel"/>
    <w:tmpl w:val="0F42C0B6"/>
    <w:lvl w:ilvl="0" w:tplc="A86E0C92">
      <w:start w:val="1"/>
      <w:numFmt w:val="lowerLetter"/>
      <w:lvlText w:val="%1)"/>
      <w:lvlJc w:val="left"/>
      <w:pPr>
        <w:ind w:left="333" w:hanging="196"/>
      </w:pPr>
      <w:rPr>
        <w:rFonts w:ascii="Arial" w:eastAsia="Arial" w:hAnsi="Arial" w:cs="Arial" w:hint="default"/>
        <w:b w:val="0"/>
        <w:bCs w:val="0"/>
        <w:i w:val="0"/>
        <w:iCs w:val="0"/>
        <w:color w:val="0F0F0F"/>
        <w:spacing w:val="-1"/>
        <w:w w:val="85"/>
        <w:sz w:val="19"/>
        <w:szCs w:val="19"/>
        <w:lang w:val="pl-PL" w:eastAsia="en-US" w:bidi="ar-SA"/>
      </w:rPr>
    </w:lvl>
    <w:lvl w:ilvl="1" w:tplc="A2C026CE">
      <w:numFmt w:val="bullet"/>
      <w:lvlText w:val="-"/>
      <w:lvlJc w:val="left"/>
      <w:pPr>
        <w:ind w:left="133" w:hanging="183"/>
      </w:pPr>
      <w:rPr>
        <w:rFonts w:ascii="Arial" w:eastAsia="Arial" w:hAnsi="Arial" w:cs="Arial" w:hint="default"/>
        <w:spacing w:val="0"/>
        <w:w w:val="100"/>
        <w:lang w:val="pl-PL" w:eastAsia="en-US" w:bidi="ar-SA"/>
      </w:rPr>
    </w:lvl>
    <w:lvl w:ilvl="2" w:tplc="2BEA1C66">
      <w:numFmt w:val="bullet"/>
      <w:lvlText w:val="•"/>
      <w:lvlJc w:val="left"/>
      <w:pPr>
        <w:ind w:left="1302" w:hanging="183"/>
      </w:pPr>
      <w:rPr>
        <w:rFonts w:hint="default"/>
        <w:lang w:val="pl-PL" w:eastAsia="en-US" w:bidi="ar-SA"/>
      </w:rPr>
    </w:lvl>
    <w:lvl w:ilvl="3" w:tplc="F76EC98A">
      <w:numFmt w:val="bullet"/>
      <w:lvlText w:val="•"/>
      <w:lvlJc w:val="left"/>
      <w:pPr>
        <w:ind w:left="2264" w:hanging="183"/>
      </w:pPr>
      <w:rPr>
        <w:rFonts w:hint="default"/>
        <w:lang w:val="pl-PL" w:eastAsia="en-US" w:bidi="ar-SA"/>
      </w:rPr>
    </w:lvl>
    <w:lvl w:ilvl="4" w:tplc="5D7A6576">
      <w:numFmt w:val="bullet"/>
      <w:lvlText w:val="•"/>
      <w:lvlJc w:val="left"/>
      <w:pPr>
        <w:ind w:left="3226" w:hanging="183"/>
      </w:pPr>
      <w:rPr>
        <w:rFonts w:hint="default"/>
        <w:lang w:val="pl-PL" w:eastAsia="en-US" w:bidi="ar-SA"/>
      </w:rPr>
    </w:lvl>
    <w:lvl w:ilvl="5" w:tplc="FDBCE11A">
      <w:numFmt w:val="bullet"/>
      <w:lvlText w:val="•"/>
      <w:lvlJc w:val="left"/>
      <w:pPr>
        <w:ind w:left="4188" w:hanging="183"/>
      </w:pPr>
      <w:rPr>
        <w:rFonts w:hint="default"/>
        <w:lang w:val="pl-PL" w:eastAsia="en-US" w:bidi="ar-SA"/>
      </w:rPr>
    </w:lvl>
    <w:lvl w:ilvl="6" w:tplc="6494F66C">
      <w:numFmt w:val="bullet"/>
      <w:lvlText w:val="•"/>
      <w:lvlJc w:val="left"/>
      <w:pPr>
        <w:ind w:left="5150" w:hanging="183"/>
      </w:pPr>
      <w:rPr>
        <w:rFonts w:hint="default"/>
        <w:lang w:val="pl-PL" w:eastAsia="en-US" w:bidi="ar-SA"/>
      </w:rPr>
    </w:lvl>
    <w:lvl w:ilvl="7" w:tplc="33CA2BCE">
      <w:numFmt w:val="bullet"/>
      <w:lvlText w:val="•"/>
      <w:lvlJc w:val="left"/>
      <w:pPr>
        <w:ind w:left="6112" w:hanging="183"/>
      </w:pPr>
      <w:rPr>
        <w:rFonts w:hint="default"/>
        <w:lang w:val="pl-PL" w:eastAsia="en-US" w:bidi="ar-SA"/>
      </w:rPr>
    </w:lvl>
    <w:lvl w:ilvl="8" w:tplc="F3C8E030">
      <w:numFmt w:val="bullet"/>
      <w:lvlText w:val="•"/>
      <w:lvlJc w:val="left"/>
      <w:pPr>
        <w:ind w:left="7074" w:hanging="183"/>
      </w:pPr>
      <w:rPr>
        <w:rFonts w:hint="default"/>
        <w:lang w:val="pl-PL" w:eastAsia="en-US" w:bidi="ar-SA"/>
      </w:rPr>
    </w:lvl>
  </w:abstractNum>
  <w:num w:numId="1" w16cid:durableId="1162162956">
    <w:abstractNumId w:val="1"/>
  </w:num>
  <w:num w:numId="2" w16cid:durableId="1140028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B808C0"/>
    <w:rsid w:val="002D630C"/>
    <w:rsid w:val="00356E7F"/>
    <w:rsid w:val="004F7F11"/>
    <w:rsid w:val="00512E1C"/>
    <w:rsid w:val="00531529"/>
    <w:rsid w:val="00654E98"/>
    <w:rsid w:val="00656D93"/>
    <w:rsid w:val="00840126"/>
    <w:rsid w:val="00B808C0"/>
    <w:rsid w:val="00C23448"/>
    <w:rsid w:val="00C85178"/>
    <w:rsid w:val="00D00E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78BFD"/>
  <w15:docId w15:val="{47A87F50-7678-4B96-8F9C-DF7DC30E9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19"/>
      <w:szCs w:val="19"/>
    </w:rPr>
  </w:style>
  <w:style w:type="paragraph" w:styleId="Tytu">
    <w:name w:val="Title"/>
    <w:basedOn w:val="Normalny"/>
    <w:uiPriority w:val="10"/>
    <w:qFormat/>
    <w:pPr>
      <w:spacing w:before="287" w:line="677" w:lineRule="exact"/>
      <w:ind w:left="509"/>
    </w:pPr>
    <w:rPr>
      <w:rFonts w:ascii="Times New Roman" w:eastAsia="Times New Roman" w:hAnsi="Times New Roman" w:cs="Times New Roman"/>
      <w:b/>
      <w:bCs/>
      <w:sz w:val="66"/>
      <w:szCs w:val="66"/>
    </w:rPr>
  </w:style>
  <w:style w:type="paragraph" w:styleId="Akapitzlist">
    <w:name w:val="List Paragraph"/>
    <w:basedOn w:val="Normalny"/>
    <w:uiPriority w:val="1"/>
    <w:qFormat/>
    <w:pPr>
      <w:spacing w:before="151"/>
      <w:ind w:left="124" w:hanging="203"/>
      <w:jc w:val="both"/>
    </w:pPr>
  </w:style>
  <w:style w:type="paragraph" w:customStyle="1" w:styleId="TableParagraph">
    <w:name w:val="Table Paragraph"/>
    <w:basedOn w:val="Normalny"/>
    <w:uiPriority w:val="1"/>
    <w:qFormat/>
  </w:style>
  <w:style w:type="table" w:styleId="Tabela-Siatka">
    <w:name w:val="Table Grid"/>
    <w:basedOn w:val="Standardowy"/>
    <w:uiPriority w:val="39"/>
    <w:rsid w:val="00C85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2413</Characters>
  <Application>Microsoft Office Word</Application>
  <DocSecurity>0</DocSecurity>
  <Lines>100</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Olimpia Sankowska</cp:lastModifiedBy>
  <cp:revision>4</cp:revision>
  <dcterms:created xsi:type="dcterms:W3CDTF">2025-10-16T14:34:00Z</dcterms:created>
  <dcterms:modified xsi:type="dcterms:W3CDTF">2025-10-24T11:45:00Z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2025-10-16T00:00:00Z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2025-10-16T00:00:00Z</vt:filetime>
  </property>
</Properties>
</file>